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B8" w:rsidRPr="009F69B8" w:rsidRDefault="009F69B8" w:rsidP="009F69B8">
      <w:pPr>
        <w:rPr>
          <w:rFonts w:asciiTheme="minorHAnsi" w:hAnsiTheme="minorHAnsi"/>
          <w:sz w:val="23"/>
          <w:szCs w:val="23"/>
        </w:rPr>
      </w:pPr>
      <w:r w:rsidRPr="009F69B8">
        <w:rPr>
          <w:rFonts w:asciiTheme="minorHAnsi" w:hAnsiTheme="minorHAnsi"/>
          <w:sz w:val="23"/>
          <w:szCs w:val="23"/>
        </w:rPr>
        <w:t>Date: April 16, 2019</w:t>
      </w:r>
      <w:r w:rsidR="003232D4">
        <w:rPr>
          <w:rFonts w:asciiTheme="minorHAnsi" w:hAnsiTheme="minorHAnsi"/>
          <w:sz w:val="23"/>
          <w:szCs w:val="23"/>
        </w:rPr>
        <w:t xml:space="preserve"> (original) July 29, 2019 (revised)</w:t>
      </w:r>
    </w:p>
    <w:p w:rsidR="009F69B8" w:rsidRPr="009F69B8" w:rsidRDefault="009F69B8" w:rsidP="009F69B8">
      <w:pPr>
        <w:rPr>
          <w:rFonts w:asciiTheme="minorHAnsi" w:hAnsiTheme="minorHAnsi"/>
          <w:sz w:val="23"/>
          <w:szCs w:val="23"/>
        </w:rPr>
      </w:pP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To: Department Administrations</w:t>
      </w:r>
    </w:p>
    <w:p w:rsidR="009F69B8" w:rsidRPr="009F69B8" w:rsidRDefault="009F69B8" w:rsidP="009F69B8">
      <w:pPr>
        <w:rPr>
          <w:rFonts w:asciiTheme="minorHAnsi" w:hAnsiTheme="minorHAnsi"/>
          <w:sz w:val="23"/>
          <w:szCs w:val="23"/>
        </w:rPr>
      </w:pP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From: Business Office (HR &amp; Finance)</w:t>
      </w:r>
    </w:p>
    <w:p w:rsidR="009F69B8" w:rsidRPr="009F69B8" w:rsidRDefault="009F69B8" w:rsidP="009F69B8">
      <w:pPr>
        <w:rPr>
          <w:rFonts w:asciiTheme="minorHAnsi" w:hAnsiTheme="minorHAnsi"/>
          <w:sz w:val="23"/>
          <w:szCs w:val="23"/>
        </w:rPr>
      </w:pP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 xml:space="preserve">Re: </w:t>
      </w:r>
      <w:proofErr w:type="spellStart"/>
      <w:r w:rsidRPr="009F69B8">
        <w:rPr>
          <w:rFonts w:asciiTheme="minorHAnsi" w:hAnsiTheme="minorHAnsi"/>
          <w:sz w:val="23"/>
          <w:szCs w:val="23"/>
        </w:rPr>
        <w:t>SoE</w:t>
      </w:r>
      <w:proofErr w:type="spellEnd"/>
      <w:r w:rsidRPr="009F69B8">
        <w:rPr>
          <w:rFonts w:asciiTheme="minorHAnsi" w:hAnsiTheme="minorHAnsi"/>
          <w:sz w:val="23"/>
          <w:szCs w:val="23"/>
        </w:rPr>
        <w:t xml:space="preserve"> Policy on Graduate Assistant Pay Rates for 2019-2020</w:t>
      </w:r>
    </w:p>
    <w:p w:rsidR="009F69B8" w:rsidRPr="009F69B8" w:rsidRDefault="009F69B8" w:rsidP="009F69B8">
      <w:pPr>
        <w:rPr>
          <w:rFonts w:asciiTheme="minorHAnsi" w:hAnsiTheme="minorHAnsi"/>
          <w:sz w:val="23"/>
          <w:szCs w:val="23"/>
        </w:rPr>
      </w:pP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 xml:space="preserve">For the 2019-2020 academic year, the minimum School of Education Teaching Assistant (TA) and Research Assistant (RA) rates will be set at the minimum campus rate. </w:t>
      </w:r>
      <w:r w:rsidR="00332EA1">
        <w:rPr>
          <w:rFonts w:asciiTheme="minorHAnsi" w:hAnsiTheme="minorHAnsi"/>
          <w:sz w:val="23"/>
          <w:szCs w:val="23"/>
        </w:rPr>
        <w:t xml:space="preserve"> The rate for Lecturer (SA) will be set above the campus minimum.  </w:t>
      </w:r>
      <w:r w:rsidRPr="009F69B8">
        <w:rPr>
          <w:rFonts w:asciiTheme="minorHAnsi" w:hAnsiTheme="minorHAnsi"/>
          <w:sz w:val="23"/>
          <w:szCs w:val="23"/>
        </w:rPr>
        <w:t>School of Education Project Assistants (PA) will be set at the minimum campus rate for Research Assistants, as follows:</w:t>
      </w:r>
    </w:p>
    <w:p w:rsidR="009F69B8" w:rsidRPr="009F69B8" w:rsidRDefault="009F69B8" w:rsidP="009F69B8">
      <w:pPr>
        <w:rPr>
          <w:rFonts w:asciiTheme="minorHAnsi" w:hAnsiTheme="minorHAnsi"/>
          <w:sz w:val="23"/>
          <w:szCs w:val="23"/>
        </w:rPr>
      </w:pPr>
    </w:p>
    <w:p w:rsidR="00C162A3" w:rsidRPr="00C162A3" w:rsidRDefault="00C162A3" w:rsidP="00C162A3">
      <w:pPr>
        <w:rPr>
          <w:rFonts w:asciiTheme="minorHAnsi" w:hAnsiTheme="minorHAnsi"/>
        </w:rPr>
      </w:pPr>
      <w:r w:rsidRPr="00C162A3">
        <w:rPr>
          <w:rFonts w:asciiTheme="minorHAnsi" w:hAnsiTheme="minorHAnsi"/>
        </w:rPr>
        <w:t>Teaching assistantship</w:t>
      </w:r>
      <w:r w:rsidR="00ED2935">
        <w:rPr>
          <w:rFonts w:asciiTheme="minorHAnsi" w:hAnsiTheme="minorHAnsi"/>
        </w:rPr>
        <w:t xml:space="preserve">, </w:t>
      </w:r>
      <w:r w:rsidR="003232D4">
        <w:rPr>
          <w:rFonts w:asciiTheme="minorHAnsi" w:hAnsiTheme="minorHAnsi"/>
        </w:rPr>
        <w:t>no prefix and senior level</w:t>
      </w:r>
      <w:r w:rsidRPr="00C162A3">
        <w:rPr>
          <w:rFonts w:asciiTheme="minorHAnsi" w:hAnsiTheme="minorHAnsi"/>
        </w:rPr>
        <w:t xml:space="preserve"> (per 50% appointment)</w:t>
      </w:r>
    </w:p>
    <w:p w:rsidR="00C162A3" w:rsidRDefault="00C162A3" w:rsidP="00C162A3">
      <w:pPr>
        <w:rPr>
          <w:rFonts w:asciiTheme="minorHAnsi" w:hAnsiTheme="minorHAnsi"/>
        </w:rPr>
      </w:pPr>
      <w:r w:rsidRPr="00C162A3">
        <w:rPr>
          <w:rFonts w:asciiTheme="minorHAnsi" w:hAnsiTheme="minorHAnsi"/>
        </w:rPr>
        <w:t>Academic:  $20,000</w:t>
      </w:r>
    </w:p>
    <w:p w:rsidR="003232D4" w:rsidRDefault="003232D4" w:rsidP="00C162A3">
      <w:pPr>
        <w:rPr>
          <w:rFonts w:asciiTheme="minorHAnsi" w:hAnsiTheme="minorHAnsi"/>
        </w:rPr>
      </w:pPr>
    </w:p>
    <w:p w:rsidR="003232D4" w:rsidRDefault="003232D4" w:rsidP="00C162A3">
      <w:pPr>
        <w:rPr>
          <w:rFonts w:asciiTheme="minorHAnsi" w:hAnsiTheme="minorHAnsi"/>
        </w:rPr>
      </w:pPr>
      <w:r>
        <w:rPr>
          <w:rFonts w:asciiTheme="minorHAnsi" w:hAnsiTheme="minorHAnsi"/>
        </w:rPr>
        <w:t>Lecturer (SA) (per 50% appointment)</w:t>
      </w:r>
    </w:p>
    <w:p w:rsidR="003232D4" w:rsidRPr="00C162A3" w:rsidRDefault="003232D4" w:rsidP="00C162A3">
      <w:pPr>
        <w:rPr>
          <w:rFonts w:asciiTheme="minorHAnsi" w:hAnsiTheme="minorHAnsi"/>
        </w:rPr>
      </w:pPr>
      <w:r>
        <w:rPr>
          <w:rFonts w:asciiTheme="minorHAnsi" w:hAnsiTheme="minorHAnsi"/>
        </w:rPr>
        <w:t>Academic: $21,000</w:t>
      </w:r>
    </w:p>
    <w:p w:rsidR="00C162A3" w:rsidRPr="00C162A3" w:rsidRDefault="00C162A3" w:rsidP="00C162A3">
      <w:pPr>
        <w:rPr>
          <w:rFonts w:asciiTheme="minorHAnsi" w:hAnsiTheme="minorHAnsi"/>
        </w:rPr>
      </w:pPr>
    </w:p>
    <w:p w:rsidR="00C162A3" w:rsidRPr="00C162A3" w:rsidRDefault="00C162A3" w:rsidP="00C162A3">
      <w:pPr>
        <w:rPr>
          <w:rFonts w:asciiTheme="minorHAnsi" w:hAnsiTheme="minorHAnsi"/>
        </w:rPr>
      </w:pPr>
      <w:r w:rsidRPr="00C162A3">
        <w:rPr>
          <w:rFonts w:asciiTheme="minorHAnsi" w:hAnsiTheme="minorHAnsi"/>
        </w:rPr>
        <w:t>Research assistantship (per 50% appointment)</w:t>
      </w:r>
    </w:p>
    <w:p w:rsidR="00C162A3" w:rsidRPr="00C162A3" w:rsidRDefault="000B2313" w:rsidP="00C162A3">
      <w:pPr>
        <w:rPr>
          <w:rFonts w:asciiTheme="minorHAnsi" w:hAnsiTheme="minorHAnsi"/>
        </w:rPr>
      </w:pPr>
      <w:r>
        <w:rPr>
          <w:rFonts w:asciiTheme="minorHAnsi" w:hAnsiTheme="minorHAnsi"/>
        </w:rPr>
        <w:t>Academic:  $20,304</w:t>
      </w:r>
    </w:p>
    <w:p w:rsidR="00C162A3" w:rsidRPr="00C162A3" w:rsidRDefault="00C162A3" w:rsidP="00C162A3">
      <w:pPr>
        <w:rPr>
          <w:rFonts w:asciiTheme="minorHAnsi" w:hAnsiTheme="minorHAnsi"/>
        </w:rPr>
      </w:pPr>
      <w:r w:rsidRPr="00C162A3">
        <w:rPr>
          <w:rFonts w:asciiTheme="minorHAnsi" w:hAnsiTheme="minorHAnsi"/>
        </w:rPr>
        <w:t>Annual:  $24,816</w:t>
      </w:r>
    </w:p>
    <w:p w:rsidR="00C162A3" w:rsidRPr="00C162A3" w:rsidRDefault="00C162A3" w:rsidP="00C162A3">
      <w:pPr>
        <w:rPr>
          <w:rFonts w:asciiTheme="minorHAnsi" w:hAnsiTheme="minorHAnsi"/>
        </w:rPr>
      </w:pPr>
    </w:p>
    <w:p w:rsidR="00C162A3" w:rsidRPr="00C162A3" w:rsidRDefault="00C162A3" w:rsidP="00C162A3">
      <w:pPr>
        <w:rPr>
          <w:rFonts w:asciiTheme="minorHAnsi" w:hAnsiTheme="minorHAnsi"/>
        </w:rPr>
      </w:pPr>
      <w:r w:rsidRPr="00C162A3">
        <w:rPr>
          <w:rFonts w:asciiTheme="minorHAnsi" w:hAnsiTheme="minorHAnsi"/>
        </w:rPr>
        <w:t>Project assistantship (per 50% appointment)</w:t>
      </w:r>
    </w:p>
    <w:p w:rsidR="00C162A3" w:rsidRPr="00C162A3" w:rsidRDefault="000B2313" w:rsidP="00C162A3">
      <w:pPr>
        <w:rPr>
          <w:rFonts w:asciiTheme="minorHAnsi" w:hAnsiTheme="minorHAnsi"/>
        </w:rPr>
      </w:pPr>
      <w:r>
        <w:rPr>
          <w:rFonts w:asciiTheme="minorHAnsi" w:hAnsiTheme="minorHAnsi"/>
        </w:rPr>
        <w:t>Academic:  $20,304</w:t>
      </w:r>
      <w:bookmarkStart w:id="0" w:name="_GoBack"/>
      <w:bookmarkEnd w:id="0"/>
    </w:p>
    <w:p w:rsidR="00C162A3" w:rsidRPr="00C162A3" w:rsidRDefault="00C162A3" w:rsidP="00C162A3">
      <w:pPr>
        <w:rPr>
          <w:rFonts w:asciiTheme="minorHAnsi" w:hAnsiTheme="minorHAnsi"/>
        </w:rPr>
      </w:pPr>
      <w:r w:rsidRPr="00C162A3">
        <w:rPr>
          <w:rFonts w:asciiTheme="minorHAnsi" w:hAnsiTheme="minorHAnsi"/>
        </w:rPr>
        <w:t>Annual:  $24,816</w:t>
      </w:r>
    </w:p>
    <w:p w:rsidR="009F69B8" w:rsidRPr="009F69B8" w:rsidRDefault="009F69B8" w:rsidP="009F69B8">
      <w:pPr>
        <w:rPr>
          <w:rFonts w:asciiTheme="minorHAnsi" w:hAnsiTheme="minorHAnsi"/>
          <w:sz w:val="23"/>
          <w:szCs w:val="23"/>
        </w:rPr>
      </w:pP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PA grader/reader</w:t>
      </w: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Hourly rate:  $21.57</w:t>
      </w:r>
    </w:p>
    <w:p w:rsidR="009F69B8" w:rsidRPr="009F69B8" w:rsidRDefault="009F69B8" w:rsidP="009F69B8">
      <w:pPr>
        <w:rPr>
          <w:rFonts w:asciiTheme="minorHAnsi" w:hAnsiTheme="minorHAnsi"/>
          <w:sz w:val="23"/>
          <w:szCs w:val="23"/>
        </w:rPr>
      </w:pP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University Fellowship, Advanced Opportunity Fellowship and Wisconsin Distinguished Graduate Fellowship</w:t>
      </w: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Academic:  $22,140</w:t>
      </w:r>
    </w:p>
    <w:p w:rsidR="009F69B8" w:rsidRPr="009F69B8" w:rsidRDefault="009F69B8" w:rsidP="009F69B8">
      <w:pPr>
        <w:rPr>
          <w:rFonts w:asciiTheme="minorHAnsi" w:hAnsiTheme="minorHAnsi"/>
          <w:sz w:val="23"/>
          <w:szCs w:val="23"/>
        </w:rPr>
      </w:pPr>
      <w:r w:rsidRPr="009F69B8">
        <w:rPr>
          <w:rFonts w:asciiTheme="minorHAnsi" w:hAnsiTheme="minorHAnsi"/>
          <w:sz w:val="23"/>
          <w:szCs w:val="23"/>
        </w:rPr>
        <w:t>Annual:  $27,000</w:t>
      </w:r>
    </w:p>
    <w:p w:rsidR="009F69B8" w:rsidRPr="009F69B8" w:rsidRDefault="009F69B8" w:rsidP="009F69B8">
      <w:pPr>
        <w:rPr>
          <w:rFonts w:asciiTheme="minorHAnsi" w:hAnsiTheme="minorHAnsi" w:cstheme="minorHAnsi"/>
          <w:color w:val="000000" w:themeColor="text1"/>
          <w:sz w:val="23"/>
          <w:szCs w:val="23"/>
        </w:rPr>
      </w:pPr>
    </w:p>
    <w:p w:rsidR="004D28E1" w:rsidRPr="009F69B8" w:rsidRDefault="009F69B8" w:rsidP="00D427F3">
      <w:pPr>
        <w:rPr>
          <w:rFonts w:asciiTheme="minorHAnsi" w:hAnsiTheme="minorHAnsi"/>
          <w:sz w:val="23"/>
          <w:szCs w:val="23"/>
        </w:rPr>
      </w:pPr>
      <w:r w:rsidRPr="009F69B8">
        <w:rPr>
          <w:rFonts w:asciiTheme="minorHAnsi" w:hAnsiTheme="minorHAnsi" w:cstheme="minorHAnsi"/>
          <w:color w:val="000000" w:themeColor="text1"/>
          <w:sz w:val="23"/>
          <w:szCs w:val="23"/>
        </w:rPr>
        <w:t xml:space="preserve">Beginning fall 2021, the </w:t>
      </w:r>
      <w:proofErr w:type="spellStart"/>
      <w:r w:rsidRPr="009F69B8">
        <w:rPr>
          <w:rFonts w:asciiTheme="minorHAnsi" w:hAnsiTheme="minorHAnsi" w:cstheme="minorHAnsi"/>
          <w:color w:val="000000" w:themeColor="text1"/>
          <w:sz w:val="23"/>
          <w:szCs w:val="23"/>
        </w:rPr>
        <w:t>SoE</w:t>
      </w:r>
      <w:proofErr w:type="spellEnd"/>
      <w:r w:rsidRPr="009F69B8">
        <w:rPr>
          <w:rFonts w:asciiTheme="minorHAnsi" w:hAnsiTheme="minorHAnsi" w:cstheme="minorHAnsi"/>
          <w:color w:val="000000" w:themeColor="text1"/>
          <w:sz w:val="23"/>
          <w:szCs w:val="23"/>
        </w:rPr>
        <w:t xml:space="preserve"> is planning to require that departments make multi-year funding offers of at least 50% funding support for all newly admitted full-time PhD students. As we move toward this goal, we encourage each department to review their current students funding and appointments and to strive to coordinate their full compensation to achieve the 50% goal. Graduate students may hold more than one appointment as long as they do not exceed 75% appointment (for domestic students) or 50% appointments (for International students). Department Administrators and the </w:t>
      </w:r>
      <w:proofErr w:type="spellStart"/>
      <w:r w:rsidRPr="009F69B8">
        <w:rPr>
          <w:rFonts w:asciiTheme="minorHAnsi" w:hAnsiTheme="minorHAnsi" w:cstheme="minorHAnsi"/>
          <w:color w:val="000000" w:themeColor="text1"/>
          <w:sz w:val="23"/>
          <w:szCs w:val="23"/>
        </w:rPr>
        <w:t>SoE</w:t>
      </w:r>
      <w:proofErr w:type="spellEnd"/>
      <w:r w:rsidRPr="009F69B8">
        <w:rPr>
          <w:rFonts w:asciiTheme="minorHAnsi" w:hAnsiTheme="minorHAnsi" w:cstheme="minorHAnsi"/>
          <w:color w:val="000000" w:themeColor="text1"/>
          <w:sz w:val="23"/>
          <w:szCs w:val="23"/>
        </w:rPr>
        <w:t xml:space="preserve"> HR staff can be of assistance with </w:t>
      </w:r>
      <w:r w:rsidRPr="009F69B8">
        <w:rPr>
          <w:rFonts w:asciiTheme="minorHAnsi" w:hAnsiTheme="minorHAnsi" w:cstheme="minorHAnsi"/>
          <w:color w:val="000000" w:themeColor="text1"/>
          <w:sz w:val="23"/>
          <w:szCs w:val="23"/>
        </w:rPr>
        <w:lastRenderedPageBreak/>
        <w:t>verification. Departments should also be sure to confer with all of their faculty and PIs to plan for the upcoming year. Understanding all of the funding available, including ancillary projects that may be planned by faculty and PIs, may allow a department/unit to coordinate various funding sources and work opportunities in an effort to move toward the 50% funding goal for every full-time PhD student.</w:t>
      </w:r>
    </w:p>
    <w:sectPr w:rsidR="004D28E1" w:rsidRPr="009F69B8" w:rsidSect="004D28E1">
      <w:headerReference w:type="default" r:id="rId8"/>
      <w:footerReference w:type="default" r:id="rId9"/>
      <w:endnotePr>
        <w:numFmt w:val="decimal"/>
      </w:endnotePr>
      <w:type w:val="continuous"/>
      <w:pgSz w:w="12240" w:h="15840" w:code="1"/>
      <w:pgMar w:top="540" w:right="900" w:bottom="720" w:left="990" w:header="288" w:footer="288" w:gutter="0"/>
      <w:paperSrc w:first="26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93" w:rsidRDefault="002D2193" w:rsidP="00DF0BFC">
      <w:r>
        <w:separator/>
      </w:r>
    </w:p>
  </w:endnote>
  <w:endnote w:type="continuationSeparator" w:id="0">
    <w:p w:rsidR="002D2193" w:rsidRDefault="002D2193" w:rsidP="00DF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FC" w:rsidRPr="008743BB" w:rsidRDefault="00DF0BFC" w:rsidP="00DF0BFC">
    <w:pPr>
      <w:tabs>
        <w:tab w:val="left" w:pos="-1180"/>
        <w:tab w:val="left" w:pos="-720"/>
        <w:tab w:val="left" w:pos="0"/>
        <w:tab w:val="left" w:pos="2970"/>
        <w:tab w:val="left" w:pos="4410"/>
      </w:tabs>
      <w:jc w:val="center"/>
      <w:rPr>
        <w:rFonts w:ascii="Times New Roman" w:hAnsi="Times New Roman"/>
        <w:sz w:val="22"/>
        <w:szCs w:val="22"/>
      </w:rPr>
    </w:pPr>
    <w:r w:rsidRPr="008743BB">
      <w:rPr>
        <w:rFonts w:ascii="Times New Roman" w:hAnsi="Times New Roman"/>
        <w:sz w:val="22"/>
        <w:szCs w:val="22"/>
      </w:rPr>
      <w:t>School of Education</w:t>
    </w:r>
  </w:p>
  <w:p w:rsidR="00DF0BFC" w:rsidRDefault="00DF0BFC" w:rsidP="00DF0BFC">
    <w:pPr>
      <w:tabs>
        <w:tab w:val="left" w:pos="-1180"/>
        <w:tab w:val="left" w:pos="-720"/>
        <w:tab w:val="left" w:pos="0"/>
        <w:tab w:val="left" w:pos="2970"/>
        <w:tab w:val="left" w:pos="4410"/>
      </w:tabs>
      <w:jc w:val="center"/>
      <w:rPr>
        <w:rFonts w:ascii="Times" w:hAnsi="Times"/>
        <w:sz w:val="20"/>
      </w:rPr>
    </w:pPr>
    <w:r>
      <w:rPr>
        <w:rFonts w:ascii="Times" w:hAnsi="Times"/>
        <w:sz w:val="20"/>
      </w:rPr>
      <w:t>Business Office</w:t>
    </w:r>
  </w:p>
  <w:p w:rsidR="00DF0BFC" w:rsidRDefault="00DF0BFC" w:rsidP="00DF0BFC">
    <w:pPr>
      <w:tabs>
        <w:tab w:val="left" w:pos="-1180"/>
        <w:tab w:val="left" w:pos="-720"/>
        <w:tab w:val="left" w:pos="0"/>
        <w:tab w:val="left" w:pos="2970"/>
        <w:tab w:val="left" w:pos="4410"/>
      </w:tabs>
      <w:rPr>
        <w:rFonts w:ascii="Times" w:hAnsi="Times"/>
      </w:rPr>
    </w:pPr>
    <w:r>
      <w:rPr>
        <w:rFonts w:ascii="Times" w:hAnsi="Times"/>
        <w:noProof/>
        <w:snapToGrid/>
        <w:sz w:val="20"/>
      </w:rPr>
      <mc:AlternateContent>
        <mc:Choice Requires="wps">
          <w:drawing>
            <wp:anchor distT="0" distB="0" distL="114300" distR="114300" simplePos="0" relativeHeight="251659264" behindDoc="0" locked="0" layoutInCell="1" allowOverlap="1" wp14:anchorId="361B570E" wp14:editId="51E77B58">
              <wp:simplePos x="0" y="0"/>
              <wp:positionH relativeFrom="column">
                <wp:posOffset>-409575</wp:posOffset>
              </wp:positionH>
              <wp:positionV relativeFrom="paragraph">
                <wp:posOffset>106045</wp:posOffset>
              </wp:positionV>
              <wp:extent cx="6715125" cy="0"/>
              <wp:effectExtent l="9525" t="12065" r="952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FB6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35pt" to="49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l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"/>
          </w:pict>
        </mc:Fallback>
      </mc:AlternateContent>
    </w:r>
  </w:p>
  <w:p w:rsidR="00DF0BFC" w:rsidRPr="00314D83" w:rsidRDefault="00DF0BFC" w:rsidP="00DF0BFC">
    <w:pPr>
      <w:tabs>
        <w:tab w:val="left" w:pos="-1180"/>
        <w:tab w:val="left" w:pos="-720"/>
        <w:tab w:val="left" w:pos="0"/>
        <w:tab w:val="left" w:pos="2970"/>
        <w:tab w:val="left" w:pos="4410"/>
      </w:tabs>
      <w:ind w:right="-540" w:hanging="540"/>
      <w:jc w:val="center"/>
      <w:rPr>
        <w:rFonts w:ascii="Times New Roman" w:hAnsi="Times New Roman"/>
      </w:rPr>
    </w:pPr>
    <w:r w:rsidRPr="00314D83">
      <w:rPr>
        <w:rFonts w:ascii="Times New Roman" w:hAnsi="Times New Roman"/>
        <w:sz w:val="20"/>
      </w:rPr>
      <w:t>L259 Education Building ▪ University of Wisconsin-Madison ▪ 1000 Bascom Mall ▪ Madison, WI  53706 ▪ 608-262-4474</w:t>
    </w:r>
  </w:p>
  <w:p w:rsidR="00DF0BFC" w:rsidRDefault="00DF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93" w:rsidRDefault="002D2193" w:rsidP="00DF0BFC">
      <w:r>
        <w:separator/>
      </w:r>
    </w:p>
  </w:footnote>
  <w:footnote w:type="continuationSeparator" w:id="0">
    <w:p w:rsidR="002D2193" w:rsidRDefault="002D2193" w:rsidP="00DF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F3" w:rsidRDefault="00D427F3" w:rsidP="00D427F3">
    <w:pPr>
      <w:pStyle w:val="Header"/>
      <w:jc w:val="center"/>
    </w:pPr>
    <w:r w:rsidRPr="00B10715">
      <w:rPr>
        <w:rFonts w:asciiTheme="minorHAnsi" w:hAnsiTheme="minorHAnsi"/>
        <w:noProof/>
        <w:snapToGrid/>
        <w:sz w:val="22"/>
        <w:szCs w:val="22"/>
      </w:rPr>
      <w:drawing>
        <wp:inline distT="0" distB="0" distL="0" distR="0" wp14:anchorId="3980B325" wp14:editId="19657546">
          <wp:extent cx="1524000" cy="1524000"/>
          <wp:effectExtent l="19050" t="0" r="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1"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46B"/>
    <w:multiLevelType w:val="hybridMultilevel"/>
    <w:tmpl w:val="B9A21B3A"/>
    <w:lvl w:ilvl="0" w:tplc="853A7AC8">
      <w:start w:val="1000"/>
      <w:numFmt w:val="bullet"/>
      <w:lvlText w:val=""/>
      <w:lvlJc w:val="left"/>
      <w:pPr>
        <w:ind w:left="1080" w:hanging="360"/>
      </w:pPr>
      <w:rPr>
        <w:rFonts w:ascii="Symbol" w:eastAsia="Times New Roman" w:hAnsi="Symbol" w:cs="Times New Roman" w:hint="default"/>
        <w:color w:val="0000FF"/>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73264"/>
    <w:multiLevelType w:val="hybridMultilevel"/>
    <w:tmpl w:val="95A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30E27"/>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4AB70811"/>
    <w:multiLevelType w:val="hybridMultilevel"/>
    <w:tmpl w:val="E356E1D6"/>
    <w:lvl w:ilvl="0" w:tplc="9EE898A6">
      <w:start w:val="1"/>
      <w:numFmt w:val="bullet"/>
      <w:lvlText w:val=""/>
      <w:lvlJc w:val="left"/>
      <w:pPr>
        <w:tabs>
          <w:tab w:val="num" w:pos="540"/>
        </w:tabs>
        <w:ind w:left="5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E254F"/>
    <w:multiLevelType w:val="hybridMultilevel"/>
    <w:tmpl w:val="FA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55"/>
    <w:rsid w:val="00011002"/>
    <w:rsid w:val="00076C2A"/>
    <w:rsid w:val="00087653"/>
    <w:rsid w:val="00095450"/>
    <w:rsid w:val="000B2313"/>
    <w:rsid w:val="001A698F"/>
    <w:rsid w:val="001F7C8E"/>
    <w:rsid w:val="00211EEC"/>
    <w:rsid w:val="002A2CF4"/>
    <w:rsid w:val="002D2193"/>
    <w:rsid w:val="002E4460"/>
    <w:rsid w:val="003023DD"/>
    <w:rsid w:val="00314D83"/>
    <w:rsid w:val="003232D4"/>
    <w:rsid w:val="003270A1"/>
    <w:rsid w:val="00332EA1"/>
    <w:rsid w:val="00351472"/>
    <w:rsid w:val="003A2C6A"/>
    <w:rsid w:val="00445E59"/>
    <w:rsid w:val="00472463"/>
    <w:rsid w:val="004868B0"/>
    <w:rsid w:val="004A3D9D"/>
    <w:rsid w:val="004B21B5"/>
    <w:rsid w:val="004D28E1"/>
    <w:rsid w:val="004F0A21"/>
    <w:rsid w:val="0050226F"/>
    <w:rsid w:val="00545173"/>
    <w:rsid w:val="00584019"/>
    <w:rsid w:val="005923CF"/>
    <w:rsid w:val="005B61E0"/>
    <w:rsid w:val="00653C61"/>
    <w:rsid w:val="006934DC"/>
    <w:rsid w:val="006E5A17"/>
    <w:rsid w:val="00705B9B"/>
    <w:rsid w:val="007406F1"/>
    <w:rsid w:val="007761EB"/>
    <w:rsid w:val="007C6780"/>
    <w:rsid w:val="007D27E4"/>
    <w:rsid w:val="0080546A"/>
    <w:rsid w:val="008743BB"/>
    <w:rsid w:val="008B7548"/>
    <w:rsid w:val="009F69B8"/>
    <w:rsid w:val="00A0480B"/>
    <w:rsid w:val="00A1065F"/>
    <w:rsid w:val="00AA33FA"/>
    <w:rsid w:val="00AE3990"/>
    <w:rsid w:val="00B10715"/>
    <w:rsid w:val="00B80DC4"/>
    <w:rsid w:val="00B97DFB"/>
    <w:rsid w:val="00BB49F3"/>
    <w:rsid w:val="00C00FA7"/>
    <w:rsid w:val="00C0532E"/>
    <w:rsid w:val="00C11618"/>
    <w:rsid w:val="00C162A3"/>
    <w:rsid w:val="00C869F4"/>
    <w:rsid w:val="00CD24EF"/>
    <w:rsid w:val="00CD4355"/>
    <w:rsid w:val="00CE0D87"/>
    <w:rsid w:val="00D427F3"/>
    <w:rsid w:val="00D67F68"/>
    <w:rsid w:val="00D820D2"/>
    <w:rsid w:val="00DD1D0F"/>
    <w:rsid w:val="00DF0BFC"/>
    <w:rsid w:val="00E15AB7"/>
    <w:rsid w:val="00E17C0C"/>
    <w:rsid w:val="00E84F33"/>
    <w:rsid w:val="00E94D55"/>
    <w:rsid w:val="00EC79E4"/>
    <w:rsid w:val="00ED2935"/>
    <w:rsid w:val="00EE39D0"/>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F8C1B"/>
  <w15:docId w15:val="{3DA5C510-96D0-453F-985E-BBCE70C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E94D55"/>
    <w:rPr>
      <w:color w:val="0000FF"/>
      <w:u w:val="single"/>
    </w:rPr>
  </w:style>
  <w:style w:type="paragraph" w:styleId="BalloonText">
    <w:name w:val="Balloon Text"/>
    <w:basedOn w:val="Normal"/>
    <w:semiHidden/>
    <w:rsid w:val="00E94D55"/>
    <w:rPr>
      <w:rFonts w:ascii="Tahoma" w:hAnsi="Tahoma" w:cs="Tahoma"/>
      <w:sz w:val="16"/>
      <w:szCs w:val="16"/>
    </w:rPr>
  </w:style>
  <w:style w:type="paragraph" w:styleId="Header">
    <w:name w:val="header"/>
    <w:basedOn w:val="Normal"/>
    <w:link w:val="HeaderChar"/>
    <w:uiPriority w:val="99"/>
    <w:unhideWhenUsed/>
    <w:rsid w:val="00DF0BFC"/>
    <w:pPr>
      <w:tabs>
        <w:tab w:val="center" w:pos="4680"/>
        <w:tab w:val="right" w:pos="9360"/>
      </w:tabs>
    </w:pPr>
  </w:style>
  <w:style w:type="character" w:customStyle="1" w:styleId="HeaderChar">
    <w:name w:val="Header Char"/>
    <w:basedOn w:val="DefaultParagraphFont"/>
    <w:link w:val="Header"/>
    <w:uiPriority w:val="99"/>
    <w:rsid w:val="00DF0BFC"/>
    <w:rPr>
      <w:rFonts w:ascii="Courier" w:hAnsi="Courier"/>
      <w:snapToGrid w:val="0"/>
      <w:sz w:val="24"/>
    </w:rPr>
  </w:style>
  <w:style w:type="paragraph" w:styleId="Footer">
    <w:name w:val="footer"/>
    <w:basedOn w:val="Normal"/>
    <w:link w:val="FooterChar"/>
    <w:uiPriority w:val="99"/>
    <w:unhideWhenUsed/>
    <w:rsid w:val="00DF0BFC"/>
    <w:pPr>
      <w:tabs>
        <w:tab w:val="center" w:pos="4680"/>
        <w:tab w:val="right" w:pos="9360"/>
      </w:tabs>
    </w:pPr>
  </w:style>
  <w:style w:type="character" w:customStyle="1" w:styleId="FooterChar">
    <w:name w:val="Footer Char"/>
    <w:basedOn w:val="DefaultParagraphFont"/>
    <w:link w:val="Footer"/>
    <w:uiPriority w:val="99"/>
    <w:rsid w:val="00DF0BFC"/>
    <w:rPr>
      <w:rFonts w:ascii="Courier" w:hAnsi="Courier"/>
      <w:snapToGrid w:val="0"/>
      <w:sz w:val="24"/>
    </w:rPr>
  </w:style>
  <w:style w:type="character" w:customStyle="1" w:styleId="A6">
    <w:name w:val="A6"/>
    <w:rsid w:val="00DF0BFC"/>
    <w:rPr>
      <w:rFonts w:ascii="Palatino" w:hAnsi="Palatino"/>
      <w:color w:val="000000"/>
      <w:sz w:val="22"/>
    </w:rPr>
  </w:style>
  <w:style w:type="paragraph" w:styleId="Title">
    <w:name w:val="Title"/>
    <w:basedOn w:val="Normal"/>
    <w:link w:val="TitleChar"/>
    <w:qFormat/>
    <w:rsid w:val="00B10715"/>
    <w:pPr>
      <w:adjustRightInd w:val="0"/>
      <w:spacing w:line="360" w:lineRule="atLeast"/>
      <w:jc w:val="center"/>
      <w:textAlignment w:val="baseline"/>
    </w:pPr>
    <w:rPr>
      <w:rFonts w:ascii="Times New Roman" w:hAnsi="Times New Roman"/>
      <w:b/>
      <w:bCs/>
      <w:snapToGrid/>
      <w:sz w:val="28"/>
      <w:szCs w:val="24"/>
    </w:rPr>
  </w:style>
  <w:style w:type="character" w:customStyle="1" w:styleId="TitleChar">
    <w:name w:val="Title Char"/>
    <w:basedOn w:val="DefaultParagraphFont"/>
    <w:link w:val="Title"/>
    <w:rsid w:val="00B10715"/>
    <w:rPr>
      <w:b/>
      <w:bCs/>
      <w:sz w:val="28"/>
      <w:szCs w:val="24"/>
    </w:rPr>
  </w:style>
  <w:style w:type="paragraph" w:styleId="NoSpacing">
    <w:name w:val="No Spacing"/>
    <w:uiPriority w:val="1"/>
    <w:qFormat/>
    <w:rsid w:val="00351472"/>
    <w:pPr>
      <w:widowControl w:val="0"/>
    </w:pPr>
    <w:rPr>
      <w:rFonts w:ascii="Courier" w:hAnsi="Courier"/>
      <w:snapToGrid w:val="0"/>
      <w:sz w:val="24"/>
    </w:rPr>
  </w:style>
  <w:style w:type="paragraph" w:styleId="ListParagraph">
    <w:name w:val="List Paragraph"/>
    <w:basedOn w:val="Normal"/>
    <w:uiPriority w:val="34"/>
    <w:qFormat/>
    <w:rsid w:val="004D28E1"/>
    <w:pPr>
      <w:widowControl/>
      <w:ind w:left="720"/>
      <w:contextualSpacing/>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AF04-1F40-41E2-B6F4-670800E2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Wisconsin</Company>
  <LinksUpToDate>false</LinksUpToDate>
  <CharactersWithSpaces>2049</CharactersWithSpaces>
  <SharedDoc>false</SharedDoc>
  <HLinks>
    <vt:vector size="6" baseType="variant">
      <vt:variant>
        <vt:i4>5046309</vt:i4>
      </vt:variant>
      <vt:variant>
        <vt:i4>0</vt:i4>
      </vt:variant>
      <vt:variant>
        <vt:i4>0</vt:i4>
      </vt:variant>
      <vt:variant>
        <vt:i4>5</vt:i4>
      </vt:variant>
      <vt:variant>
        <vt:lpwstr>mailto:jfeldhausen@education.wisc.edu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pnm</dc:creator>
  <cp:keywords/>
  <cp:lastModifiedBy>Sarah Gomez-Rendon</cp:lastModifiedBy>
  <cp:revision>5</cp:revision>
  <cp:lastPrinted>2015-08-10T19:47:00Z</cp:lastPrinted>
  <dcterms:created xsi:type="dcterms:W3CDTF">2019-07-30T13:56:00Z</dcterms:created>
  <dcterms:modified xsi:type="dcterms:W3CDTF">2019-07-30T15:02:00Z</dcterms:modified>
</cp:coreProperties>
</file>